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F6" w:rsidRPr="00BA57F6" w:rsidRDefault="00BA57F6" w:rsidP="00BA57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BA57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Лекция 4</w:t>
      </w:r>
    </w:p>
    <w:p w:rsidR="00BA57F6" w:rsidRPr="00BA57F6" w:rsidRDefault="00BA57F6" w:rsidP="00BA57F6">
      <w:pPr>
        <w:spacing w:line="240" w:lineRule="auto"/>
        <w:ind w:left="-426" w:right="-284" w:firstLine="426"/>
        <w:rPr>
          <w:rFonts w:ascii="Times New Roman" w:eastAsia="Calibri" w:hAnsi="Times New Roman" w:cs="Times New Roman"/>
          <w:b/>
          <w:sz w:val="32"/>
          <w:szCs w:val="32"/>
        </w:rPr>
      </w:pPr>
      <w:r w:rsidRPr="00BA57F6">
        <w:rPr>
          <w:rFonts w:ascii="Times New Roman" w:eastAsia="Calibri" w:hAnsi="Times New Roman" w:cs="Times New Roman"/>
          <w:b/>
          <w:sz w:val="32"/>
          <w:szCs w:val="32"/>
        </w:rPr>
        <w:t>Микрометрические инструменты: микрометр, микрометрический глубиномер, нутромер. Проверка настройки инструментов. Чтение показаний.</w:t>
      </w:r>
    </w:p>
    <w:p w:rsidR="00BA57F6" w:rsidRPr="00BA57F6" w:rsidRDefault="00BA57F6" w:rsidP="00BA57F6">
      <w:pPr>
        <w:spacing w:before="100" w:beforeAutospacing="1" w:after="100" w:afterAutospacing="1" w:line="240" w:lineRule="auto"/>
        <w:ind w:left="-426" w:right="-284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7F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Микрометрические инструменты служат</w:t>
      </w: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наружных измерений, внутренних измерений, глубины пазов, отверстий и длин уступов. Общим узлом для всех микрометрических инструментов является микрометрическая головка.</w:t>
      </w:r>
    </w:p>
    <w:p w:rsidR="00BA57F6" w:rsidRPr="00BA57F6" w:rsidRDefault="00BA57F6" w:rsidP="00BA57F6">
      <w:pPr>
        <w:spacing w:before="100" w:beforeAutospacing="1" w:after="100" w:afterAutospacing="1" w:line="240" w:lineRule="auto"/>
        <w:ind w:left="-426" w:right="-284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Известно, что при неподвижной гайке один оборот винта соответствует его осевому перемещению, равному шагу резьбовой пары винт-гайка. Для отсчета дольных значений в микрометрическую головку введена дополнительная шкала.</w:t>
      </w:r>
    </w:p>
    <w:p w:rsidR="00BA57F6" w:rsidRPr="00BA57F6" w:rsidRDefault="00BA57F6" w:rsidP="00BA57F6">
      <w:pPr>
        <w:spacing w:before="100" w:beforeAutospacing="1" w:after="100" w:afterAutospacing="1" w:line="240" w:lineRule="auto"/>
        <w:ind w:left="-426" w:right="-284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7F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0CD3EE" wp14:editId="442B4261">
            <wp:simplePos x="0" y="0"/>
            <wp:positionH relativeFrom="column">
              <wp:posOffset>-13335</wp:posOffset>
            </wp:positionH>
            <wp:positionV relativeFrom="paragraph">
              <wp:posOffset>816610</wp:posOffset>
            </wp:positionV>
            <wp:extent cx="5453380" cy="2267585"/>
            <wp:effectExtent l="0" t="0" r="0" b="0"/>
            <wp:wrapThrough wrapText="bothSides">
              <wp:wrapPolygon edited="0">
                <wp:start x="0" y="0"/>
                <wp:lineTo x="0" y="21412"/>
                <wp:lineTo x="21504" y="21412"/>
                <wp:lineTo x="21504" y="0"/>
                <wp:lineTo x="0" y="0"/>
              </wp:wrapPolygon>
            </wp:wrapThrough>
            <wp:docPr id="1" name="Рисунок 1" descr="http://konesh.ru/imgs/metodicheskie-ukazaniya-dlya-vipolneniya-laboratornoj-rabo/8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esh.ru/imgs/metodicheskie-ukazaniya-dlya-vipolneniya-laboratornoj-rabo/84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38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наружных измерений используют микрометр гладкий (рис. П3). Наибольшее применение имеют микрометры с диапазоном измерения до 600 мм.</w:t>
      </w:r>
    </w:p>
    <w:p w:rsidR="00BA57F6" w:rsidRPr="00BA57F6" w:rsidRDefault="00BA57F6" w:rsidP="00BA5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Рисунок П3 - Общий вид микрометра гладкого:</w:t>
      </w:r>
    </w:p>
    <w:p w:rsidR="00BA57F6" w:rsidRDefault="00BA57F6" w:rsidP="00BA5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1-1 1</w:t>
      </w: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скоба; </w:t>
      </w:r>
    </w:p>
    <w:p w:rsidR="00BA57F6" w:rsidRPr="00BA57F6" w:rsidRDefault="00BA57F6" w:rsidP="00BA5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2 - неподвижная измерительная пятка;</w:t>
      </w:r>
    </w:p>
    <w:p w:rsidR="00BA57F6" w:rsidRPr="00BA57F6" w:rsidRDefault="00BA57F6" w:rsidP="00BA5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3 - микрометрическая головка с подвижной измерительной пяткой;</w:t>
      </w:r>
    </w:p>
    <w:p w:rsidR="00BA57F6" w:rsidRPr="00BA57F6" w:rsidRDefault="00BA57F6" w:rsidP="00BA5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4 - стопор микровинта; 5 - стебель микрометрической головки;</w:t>
      </w:r>
    </w:p>
    <w:p w:rsidR="00BA57F6" w:rsidRPr="00BA57F6" w:rsidRDefault="00BA57F6" w:rsidP="00BA5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6 - барабан микрометрической головки; 7 - трещотка</w:t>
      </w:r>
    </w:p>
    <w:p w:rsidR="00BA57F6" w:rsidRPr="00BA57F6" w:rsidRDefault="00BA57F6" w:rsidP="00BA57F6">
      <w:pPr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установки на нуль микрометров с диапазоном измерения свыше 25 мм (больше длины резьбы винта) применяются установочные меры в виде цилиндра, у которого размер между торцевыми поверхностями равен нижнему пределу измерения микрометра. Микрометры можно настраивать на нуль или любой другой размер (например, номинальный) по концевым мерам длины, в результате чего точность отсчета повышается по сравнению с обычным использованием микрометра.</w:t>
      </w:r>
    </w:p>
    <w:p w:rsidR="00BA57F6" w:rsidRPr="00BA57F6" w:rsidRDefault="00BA57F6" w:rsidP="00BA57F6">
      <w:pPr>
        <w:spacing w:before="100" w:beforeAutospacing="1" w:after="100" w:afterAutospacing="1" w:line="240" w:lineRule="auto"/>
        <w:ind w:left="-426" w:right="-143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Перед измерением микрометр устанавливают на нуль. Для этого, вращая микровинт за трещотку, плавно подводят его торец к торцу пятки установочной меры до момента плотного контакта измерительных пяток, когда трещотка начнет </w:t>
      </w: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провертываться. В этом положении нулевой штрих шкалы барабана должен совпадать с нулевым штрихом стебля. Закрепляют стопор микровинта, разъединяют барабан и микровинт, отвертывают трещотку. Совмещают нулевой штрих барабана с продольным штрихом стебля и после этого вращают по часовой стрелке корпус трещотки до плотного закрепления барабана на микровинте. Освобождают стопор микровинта. При измерении детали плавно вращают трещотку до момента начала ее привертывания. Стопорят микровинт и определяют размер детали, который равен сумме показаний, снятых с продольной шкалы стебля (в мм) и круговой шкалы барабана (сотых долей мм). </w:t>
      </w:r>
    </w:p>
    <w:p w:rsidR="00BA57F6" w:rsidRPr="00BA57F6" w:rsidRDefault="00BA57F6" w:rsidP="00BA57F6">
      <w:pPr>
        <w:spacing w:before="100" w:beforeAutospacing="1" w:after="100" w:afterAutospacing="1" w:line="240" w:lineRule="auto"/>
        <w:ind w:left="-426" w:right="-143" w:firstLine="426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BA57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Штангенинструменты</w:t>
      </w:r>
      <w:proofErr w:type="spellEnd"/>
    </w:p>
    <w:p w:rsidR="00BA57F6" w:rsidRPr="00BA57F6" w:rsidRDefault="00BA57F6" w:rsidP="00BA57F6">
      <w:pPr>
        <w:spacing w:before="100" w:beforeAutospacing="1" w:after="100" w:afterAutospacing="1" w:line="240" w:lineRule="auto"/>
        <w:ind w:left="-426" w:right="-143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Штангенинструмент</w:t>
      </w:r>
      <w:proofErr w:type="spellEnd"/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группа измерительных средств для измерения и разметки линейных размеров методом непосредственной оценки. Отсчетное устройство </w:t>
      </w:r>
      <w:proofErr w:type="spellStart"/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штангенинструмента</w:t>
      </w:r>
      <w:proofErr w:type="spellEnd"/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состоит из измерительной линейки штанги с делениями через 1 мм и вспомогательной подвижной шкалы нониуса для отсчета частей делений основной шкалы, нанесенной на штанге.</w:t>
      </w:r>
    </w:p>
    <w:p w:rsidR="00BA57F6" w:rsidRPr="00BA57F6" w:rsidRDefault="00BA57F6" w:rsidP="00BA57F6">
      <w:pPr>
        <w:spacing w:before="100" w:beforeAutospacing="1" w:after="100" w:afterAutospacing="1" w:line="240" w:lineRule="auto"/>
        <w:ind w:left="-426" w:right="-143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основу отсчета по нониусу положена способность человеческого глаза оценивать совпадение и несовпадение штрихов двух сомкнутых шкал более точно при определении долей деления по одной шкале.</w:t>
      </w:r>
    </w:p>
    <w:p w:rsidR="00BA57F6" w:rsidRPr="00BA57F6" w:rsidRDefault="00BA57F6" w:rsidP="00BA57F6">
      <w:pPr>
        <w:spacing w:before="100" w:beforeAutospacing="1" w:after="100" w:afterAutospacing="1" w:line="240" w:lineRule="auto"/>
        <w:ind w:left="-426" w:right="-143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Нониусная</w:t>
      </w:r>
      <w:proofErr w:type="spellEnd"/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шкала (рис. П1) имеет небольшое число интервалов деления 10-20 по сравнению с основной шкалой. Нулевой штрих нониуса является указателем числа целых делений основной шкалы. Отсчет по нониусу сводится к определению совпадения одного из штрихов нониуса с соответствующим штрихом основной шкалы.</w:t>
      </w:r>
    </w:p>
    <w:p w:rsidR="00BA57F6" w:rsidRPr="00BA57F6" w:rsidRDefault="00BA57F6" w:rsidP="00BA57F6">
      <w:pPr>
        <w:spacing w:before="100" w:beforeAutospacing="1" w:after="100" w:afterAutospacing="1" w:line="240" w:lineRule="auto"/>
        <w:ind w:left="-426" w:right="-143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Модуль нониуса является мерой «растяжки» шкалы и показывает, сколько делений основной шкалы соответствует одному делению шкалы нониуса. Модуль принимается равным 1; 2 и 5, а отсчеты по нониусу – 0,1; 0,05 и 0,02 мм. Отсчет по нониусу 0,02 мм практически не применяется, т.к. погрешность отсчета не менее, чем погрешность при отсчете 0,05 мм.</w:t>
      </w:r>
    </w:p>
    <w:p w:rsidR="00BA57F6" w:rsidRPr="00BA57F6" w:rsidRDefault="00BA57F6" w:rsidP="00BA57F6">
      <w:pPr>
        <w:spacing w:before="100" w:beforeAutospacing="1" w:after="100" w:afterAutospacing="1" w:line="240" w:lineRule="auto"/>
        <w:ind w:left="-426" w:right="-143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</w:t>
      </w:r>
      <w:proofErr w:type="spellStart"/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штангенинструментам</w:t>
      </w:r>
      <w:proofErr w:type="spellEnd"/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относятся штангенциркули, </w:t>
      </w:r>
      <w:proofErr w:type="spellStart"/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штангенглубиномеры</w:t>
      </w:r>
      <w:proofErr w:type="spellEnd"/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штангенрейсмасы</w:t>
      </w:r>
      <w:proofErr w:type="spellEnd"/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штангензубомеры</w:t>
      </w:r>
      <w:proofErr w:type="spellEnd"/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Эти инструменты имеют общую конструкцию – штангу с основной шкалой и подвижную рамку с нониусом. Общий вид штангенциркуля показан на рис. П2.</w:t>
      </w:r>
    </w:p>
    <w:p w:rsidR="00BA57F6" w:rsidRPr="00BA57F6" w:rsidRDefault="00BA57F6" w:rsidP="00BA57F6">
      <w:pPr>
        <w:spacing w:before="100" w:beforeAutospacing="1" w:after="100" w:afterAutospacing="1" w:line="240" w:lineRule="auto"/>
        <w:ind w:left="-426" w:right="-143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Наибольшее распространение получили штангенциркули с диапазоном измерения от 0 до 140 мм или от 0 до 320 мм с отсчетом по нониусу 0,1 и 0,05 мм.</w:t>
      </w:r>
    </w:p>
    <w:p w:rsidR="00BA57F6" w:rsidRPr="00BA57F6" w:rsidRDefault="00BA57F6" w:rsidP="00BA57F6">
      <w:pPr>
        <w:spacing w:before="100" w:beforeAutospacing="1" w:after="100" w:afterAutospacing="1" w:line="240" w:lineRule="auto"/>
        <w:ind w:left="-426" w:right="-143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Измерение штангенциркулем наружного диаметра выполняют в следующей последовательности. Изделие помещают между губками, прижимают неподвижную губку к поверхности детали, перемещают подвижную губку до плотного контакта измерительной поверхности губки с поверхностью измеряемой детали. Закрепляют </w:t>
      </w: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стопорный винт губки, снимают штангенциркуль с изделия и производят отсчет по основной шкале и нониусу.</w:t>
      </w:r>
    </w:p>
    <w:p w:rsidR="00BA57F6" w:rsidRPr="00BA57F6" w:rsidRDefault="00BA57F6" w:rsidP="00BA57F6">
      <w:pPr>
        <w:spacing w:after="200" w:line="276" w:lineRule="auto"/>
        <w:rPr>
          <w:rFonts w:ascii="Calibri" w:eastAsia="Calibri" w:hAnsi="Calibri" w:cs="Times New Roman"/>
        </w:rPr>
      </w:pPr>
      <w:r w:rsidRPr="00BA57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A9E52D0" wp14:editId="36DBCBA8">
            <wp:extent cx="5939856" cy="2952750"/>
            <wp:effectExtent l="0" t="0" r="3810" b="0"/>
            <wp:docPr id="2" name="Рисунок 2" descr="http://konesh.ru/imgs/metodicheskie-ukazaniya-dlya-vipolneniya-laboratornoj-rabo/8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esh.ru/imgs/metodicheskie-ukazaniya-dlya-vipolneniya-laboratornoj-rabo/84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623" cy="295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F6" w:rsidRPr="00BA57F6" w:rsidRDefault="00BA57F6" w:rsidP="00BA5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Рисунок П1 - Принцип построения нониуса:</w:t>
      </w:r>
    </w:p>
    <w:p w:rsidR="00BA57F6" w:rsidRPr="00BA57F6" w:rsidRDefault="00BA57F6" w:rsidP="00BA5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основная шкала; 2 - шкала нониуса; 3, 4, 5 - нониус </w:t>
      </w:r>
    </w:p>
    <w:p w:rsidR="00BA57F6" w:rsidRPr="00BA57F6" w:rsidRDefault="00BA57F6" w:rsidP="00BA57F6">
      <w:pPr>
        <w:spacing w:after="200" w:line="276" w:lineRule="auto"/>
        <w:rPr>
          <w:rFonts w:ascii="Calibri" w:eastAsia="Calibri" w:hAnsi="Calibri" w:cs="Times New Roman"/>
        </w:rPr>
      </w:pPr>
    </w:p>
    <w:p w:rsidR="00BA57F6" w:rsidRPr="00BA57F6" w:rsidRDefault="00BA57F6" w:rsidP="00BA57F6">
      <w:pPr>
        <w:spacing w:after="200" w:line="276" w:lineRule="auto"/>
        <w:rPr>
          <w:rFonts w:ascii="Calibri" w:eastAsia="Calibri" w:hAnsi="Calibri" w:cs="Times New Roman"/>
        </w:rPr>
      </w:pPr>
      <w:r w:rsidRPr="00BA57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920BA8F" wp14:editId="67A1C136">
            <wp:extent cx="4724400" cy="2934002"/>
            <wp:effectExtent l="0" t="0" r="0" b="0"/>
            <wp:docPr id="3" name="Рисунок 3" descr="http://konesh.ru/imgs/metodicheskie-ukazaniya-dlya-vipolneniya-laboratornoj-rabo/8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nesh.ru/imgs/metodicheskie-ukazaniya-dlya-vipolneniya-laboratornoj-rabo/84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793" cy="29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F6" w:rsidRPr="00BA57F6" w:rsidRDefault="00BA57F6" w:rsidP="00BA5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Рисунок П2 - Общий вид штангенциркуля:</w:t>
      </w:r>
    </w:p>
    <w:p w:rsidR="00BA57F6" w:rsidRPr="00BA57F6" w:rsidRDefault="00BA57F6" w:rsidP="00BA5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измерительные губки; 2 - подвижная рамка;</w:t>
      </w:r>
    </w:p>
    <w:p w:rsidR="00BA57F6" w:rsidRPr="00BA57F6" w:rsidRDefault="00BA57F6" w:rsidP="00BA5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3 - стопорный винт на подвижной рамке; 4 - нониус; 5 - винт на штанге;</w:t>
      </w:r>
    </w:p>
    <w:p w:rsidR="00BA57F6" w:rsidRPr="00BA57F6" w:rsidRDefault="00BA57F6" w:rsidP="00BA5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6 - микрометрическая подача для медленного перемещения рамки по штанге </w:t>
      </w:r>
    </w:p>
    <w:p w:rsidR="00BA57F6" w:rsidRPr="00BA57F6" w:rsidRDefault="00BA57F6" w:rsidP="00BA57F6">
      <w:pPr>
        <w:spacing w:after="200" w:line="276" w:lineRule="auto"/>
        <w:rPr>
          <w:rFonts w:ascii="Calibri" w:eastAsia="Calibri" w:hAnsi="Calibri" w:cs="Times New Roman"/>
        </w:rPr>
      </w:pPr>
    </w:p>
    <w:p w:rsidR="00BA57F6" w:rsidRPr="00BA57F6" w:rsidRDefault="00BA57F6" w:rsidP="00BA57F6">
      <w:pPr>
        <w:spacing w:after="200" w:line="276" w:lineRule="auto"/>
        <w:rPr>
          <w:rFonts w:ascii="Calibri" w:eastAsia="Calibri" w:hAnsi="Calibri" w:cs="Times New Roman"/>
        </w:rPr>
      </w:pPr>
    </w:p>
    <w:sectPr w:rsidR="00BA57F6" w:rsidRPr="00BA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0C"/>
    <w:rsid w:val="0030711E"/>
    <w:rsid w:val="00567CC0"/>
    <w:rsid w:val="0072060C"/>
    <w:rsid w:val="00A258DA"/>
    <w:rsid w:val="00BA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D232"/>
  <w15:chartTrackingRefBased/>
  <w15:docId w15:val="{EF0DACBE-20D9-4675-B8DD-7C8DBFBC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2021-10-18T06:04:00Z</dcterms:created>
  <dcterms:modified xsi:type="dcterms:W3CDTF">2021-10-18T06:04:00Z</dcterms:modified>
</cp:coreProperties>
</file>